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6F6" w:rsidRPr="008276F6" w:rsidRDefault="008276F6" w:rsidP="008276F6">
      <w:pPr>
        <w:rPr>
          <w:sz w:val="16"/>
          <w:lang w:val="fr-CA"/>
        </w:rPr>
      </w:pPr>
      <w:r w:rsidRPr="008276F6">
        <w:rPr>
          <w:sz w:val="16"/>
          <w:lang w:val="fr-CA"/>
        </w:rPr>
        <w:t>CGC 1DI</w:t>
      </w:r>
    </w:p>
    <w:p w:rsidR="008276F6" w:rsidRDefault="008276F6" w:rsidP="008276F6">
      <w:pPr>
        <w:rPr>
          <w:b/>
          <w:sz w:val="28"/>
          <w:lang w:val="fr-CA"/>
        </w:rPr>
      </w:pPr>
      <w:r>
        <w:rPr>
          <w:sz w:val="16"/>
          <w:lang w:val="fr-CA"/>
        </w:rPr>
        <w:t>Mlle Wright</w:t>
      </w:r>
    </w:p>
    <w:p w:rsidR="008276F6" w:rsidRDefault="008276F6" w:rsidP="008276F6">
      <w:pPr>
        <w:jc w:val="center"/>
        <w:rPr>
          <w:b/>
          <w:sz w:val="28"/>
          <w:lang w:val="fr-CA"/>
        </w:rPr>
      </w:pPr>
    </w:p>
    <w:p w:rsidR="008276F6" w:rsidRDefault="008276F6" w:rsidP="008276F6">
      <w:pPr>
        <w:jc w:val="center"/>
        <w:rPr>
          <w:lang w:val="fr-CA"/>
        </w:rPr>
      </w:pPr>
      <w:r>
        <w:rPr>
          <w:b/>
          <w:sz w:val="28"/>
          <w:lang w:val="fr-CA"/>
        </w:rPr>
        <w:t>Profils des personnages désireux d’immigrer au Canada</w:t>
      </w:r>
    </w:p>
    <w:p w:rsidR="008276F6" w:rsidRDefault="008276F6" w:rsidP="008276F6">
      <w:pPr>
        <w:rPr>
          <w:lang w:val="fr-CA"/>
        </w:rPr>
      </w:pPr>
    </w:p>
    <w:p w:rsidR="008276F6" w:rsidRDefault="008276F6" w:rsidP="008276F6">
      <w:pPr>
        <w:rPr>
          <w:lang w:val="fr-CA"/>
        </w:rPr>
      </w:pPr>
    </w:p>
    <w:p w:rsidR="008276F6" w:rsidRDefault="008276F6" w:rsidP="008276F6">
      <w:pPr>
        <w:rPr>
          <w:lang w:val="fr-CA"/>
        </w:rPr>
      </w:pPr>
      <w:r>
        <w:rPr>
          <w:lang w:val="fr-CA"/>
        </w:rPr>
        <w:t>Twan Du était né en Vietnam.  Il a été élevé à parler, à lire et à écrire la langue vietnamienne ainsi que le français.  A treize ans, il s’est enfuit à Hong Kong où il a complété l’école secondaire et s’est diplômé à un collège.  Il s’est spécialisé en orthophonie et il travaille dans ce domaine depuis cinq ans.  Maintenant, à 31 ans, il désire émigrer de Hong Kong.  En anticipant ceci, Twan a appris à parler couramment l’anglais ainsi que l’écrire et le lire sans difficultés.</w:t>
      </w:r>
    </w:p>
    <w:p w:rsidR="008276F6" w:rsidRDefault="008276F6" w:rsidP="008276F6">
      <w:pPr>
        <w:rPr>
          <w:lang w:val="fr-CA"/>
        </w:rPr>
      </w:pPr>
    </w:p>
    <w:p w:rsidR="008276F6" w:rsidRDefault="008276F6" w:rsidP="008276F6">
      <w:pPr>
        <w:rPr>
          <w:lang w:val="fr-CA"/>
        </w:rPr>
      </w:pPr>
    </w:p>
    <w:p w:rsidR="008276F6" w:rsidRDefault="008276F6" w:rsidP="008276F6">
      <w:pPr>
        <w:rPr>
          <w:lang w:val="fr-CA"/>
        </w:rPr>
      </w:pPr>
      <w:r>
        <w:rPr>
          <w:lang w:val="fr-CA"/>
        </w:rPr>
        <w:t xml:space="preserve">Akende Zuha était née en Tanzanie. Elle a complété jusqu’au 7ieme niveau d’école et a appris à taper 195 mots par minute.  Elle parle parfaitement le Swahili et peut lire et écrire l’anglais mais avec difficultés.  Akende travaille en tant que réceptionniste au Ministère des Records depuis 11 mois et maintenant elle veut travailler pour le gouvernement au Canada.  Elle a suivi le cours “Professional Secretary” de l’École Internationale de Correspondance de la Californie, par courrier.  Ceci a pris trois mois à compléter et elle a réussi son diplôme.  Akende ne connait personne au Canada mais </w:t>
      </w:r>
      <w:r w:rsidR="00621AAE">
        <w:rPr>
          <w:lang w:val="fr-CA"/>
        </w:rPr>
        <w:t>à 20</w:t>
      </w:r>
      <w:r>
        <w:rPr>
          <w:lang w:val="fr-CA"/>
        </w:rPr>
        <w:t xml:space="preserve"> ans, elle est confiante qu’avec sa personnalité elle se fera facilement des amis.</w:t>
      </w:r>
    </w:p>
    <w:p w:rsidR="008276F6" w:rsidRDefault="008276F6" w:rsidP="008276F6">
      <w:pPr>
        <w:rPr>
          <w:lang w:val="fr-CA"/>
        </w:rPr>
      </w:pPr>
    </w:p>
    <w:p w:rsidR="008276F6" w:rsidRDefault="008276F6" w:rsidP="008276F6">
      <w:pPr>
        <w:rPr>
          <w:lang w:val="fr-CA"/>
        </w:rPr>
      </w:pPr>
    </w:p>
    <w:p w:rsidR="008276F6" w:rsidRDefault="008276F6" w:rsidP="008276F6">
      <w:pPr>
        <w:rPr>
          <w:lang w:val="fr-CA"/>
        </w:rPr>
      </w:pPr>
      <w:r>
        <w:rPr>
          <w:lang w:val="fr-CA"/>
        </w:rPr>
        <w:t>Sven Jorgensson est à la retraite.  Il était un pêcheur de baleines de Norvège.  Il s’est éduqué lui-même et son père l’a appris à chasser.  Il espère venir au Canada pour apprendre à parler l’anglais et pour trouver une femme qui cuisinera pour lui.  Il ne prévoit aucun obstacle qui l’empêchera à atteindre ce but puisqu’il est assez beau et il sait très bien faire la danse de bal.  Maintenant, à 62 ans, il a besoin de se reposer un peu.  Cependant, il est sûr qu’il peut trouver un emploi, même avec sa condition de cœur.</w:t>
      </w:r>
    </w:p>
    <w:p w:rsidR="008276F6" w:rsidRDefault="008276F6" w:rsidP="008276F6">
      <w:pPr>
        <w:rPr>
          <w:lang w:val="fr-CA"/>
        </w:rPr>
      </w:pPr>
    </w:p>
    <w:p w:rsidR="008276F6" w:rsidRDefault="008276F6" w:rsidP="008276F6">
      <w:pPr>
        <w:rPr>
          <w:lang w:val="fr-CA"/>
        </w:rPr>
      </w:pPr>
    </w:p>
    <w:p w:rsidR="008276F6" w:rsidRDefault="008276F6" w:rsidP="008276F6">
      <w:pPr>
        <w:rPr>
          <w:lang w:val="fr-CA"/>
        </w:rPr>
      </w:pPr>
      <w:r>
        <w:rPr>
          <w:lang w:val="fr-CA"/>
        </w:rPr>
        <w:t>Rajawanalanalolin Sridupathikano vient de Sri Lanka.  Il sait parler, écrire et lire couramment l’anglais.  Raj s’est diplômé à l’Université de Jafna avec sa Maîtrise en Économie.  Il a travaillé pour la Compagnie de Deepta Cola pendant deux ans et a passé un an en formation d’analyste d’exportations.  Il a un cousin à Toronto qui lui promet un emploi dans son domaine.  Raj attend avec hâte sa nouvelle vie au Canada et espère y fêter son anniversaire de 30 ans.</w:t>
      </w:r>
    </w:p>
    <w:p w:rsidR="008276F6" w:rsidRDefault="008276F6" w:rsidP="008276F6">
      <w:pPr>
        <w:rPr>
          <w:lang w:val="fr-CA"/>
        </w:rPr>
      </w:pPr>
    </w:p>
    <w:p w:rsidR="008276F6" w:rsidRDefault="008276F6" w:rsidP="008276F6">
      <w:pPr>
        <w:rPr>
          <w:lang w:val="fr-CA"/>
        </w:rPr>
      </w:pPr>
    </w:p>
    <w:p w:rsidR="008276F6" w:rsidRPr="008276F6" w:rsidRDefault="008276F6" w:rsidP="008276F6">
      <w:pPr>
        <w:rPr>
          <w:lang w:val="fr-CA"/>
        </w:rPr>
      </w:pPr>
      <w:r>
        <w:rPr>
          <w:lang w:val="fr-CA"/>
        </w:rPr>
        <w:t>Georgia a réussi à s’échapper de la guerre en Bosnie et à s’enfuir à la Grèce.  Elle n’aurait jamais survécu un tel voyage si elle n’avait pas ses bijoux.  Ses parents l’ont enseigné à être bijoutière après avoir terminé cinq ans de l’école secondaire et cinq ans de formation avec une grande compagnie à Belgrade.  Elle créait de très beaux bijoux qu’elle avait gardés dans un petit sac.  Ces bijoux ont été utilisés comme pot-de-vin pour assurer un passage en sécurité de la zone de guerre.  Georgia a 25 ans et parle un peu d’anglais et un peu de français.  Elle a l’intention de déménager à London, Ontario où un cousin lui a promis un emploi et un endroit où loger jusqu’à ce qu’elle s’installe</w:t>
      </w:r>
      <w:r w:rsidRPr="008276F6">
        <w:rPr>
          <w:lang w:val="fr-CA"/>
        </w:rPr>
        <w:t>.</w:t>
      </w:r>
    </w:p>
    <w:p w:rsidR="00A7701A" w:rsidRDefault="00A7701A">
      <w:pPr>
        <w:rPr>
          <w:lang w:val="fr-CA"/>
        </w:rPr>
      </w:pPr>
    </w:p>
    <w:p w:rsidR="00AC316E" w:rsidRDefault="00AC316E">
      <w:pPr>
        <w:rPr>
          <w:lang w:val="fr-CA"/>
        </w:rPr>
      </w:pPr>
    </w:p>
    <w:p w:rsidR="00AC316E" w:rsidRDefault="00AC316E">
      <w:pPr>
        <w:rPr>
          <w:lang w:val="fr-CA"/>
        </w:rPr>
      </w:pPr>
    </w:p>
    <w:p w:rsidR="00AC316E" w:rsidRDefault="00AC316E">
      <w:pPr>
        <w:rPr>
          <w:lang w:val="fr-CA"/>
        </w:rPr>
      </w:pPr>
    </w:p>
    <w:p w:rsidR="00AC316E" w:rsidRDefault="00AC316E">
      <w:pPr>
        <w:rPr>
          <w:lang w:val="fr-CA"/>
        </w:rPr>
      </w:pPr>
    </w:p>
    <w:p w:rsidR="00AC316E" w:rsidRDefault="00AC316E">
      <w:pPr>
        <w:rPr>
          <w:lang w:val="fr-CA"/>
        </w:rPr>
      </w:pPr>
    </w:p>
    <w:p w:rsidR="00AC316E" w:rsidRDefault="00AC316E">
      <w:pPr>
        <w:rPr>
          <w:lang w:val="fr-CA"/>
        </w:rPr>
      </w:pPr>
    </w:p>
    <w:p w:rsidR="00AC316E" w:rsidRDefault="00AC316E" w:rsidP="00AC316E">
      <w:pPr>
        <w:rPr>
          <w:sz w:val="16"/>
        </w:rPr>
      </w:pPr>
      <w:r>
        <w:rPr>
          <w:sz w:val="16"/>
        </w:rPr>
        <w:lastRenderedPageBreak/>
        <w:t>CGC 1DI</w:t>
      </w:r>
    </w:p>
    <w:p w:rsidR="00AC316E" w:rsidRDefault="00AC316E" w:rsidP="00AC316E">
      <w:pPr>
        <w:rPr>
          <w:lang w:val="fr-CA"/>
        </w:rPr>
      </w:pPr>
      <w:r>
        <w:rPr>
          <w:sz w:val="16"/>
          <w:lang w:val="fr-CA"/>
        </w:rPr>
        <w:t>Mlle Wright</w:t>
      </w:r>
    </w:p>
    <w:p w:rsidR="00AC316E" w:rsidRDefault="00AC316E" w:rsidP="00AC316E">
      <w:pPr>
        <w:rPr>
          <w:b/>
          <w:sz w:val="28"/>
          <w:lang w:val="fr-CA"/>
        </w:rPr>
      </w:pPr>
    </w:p>
    <w:p w:rsidR="00AC316E" w:rsidRDefault="00AC316E" w:rsidP="00AC316E">
      <w:pPr>
        <w:jc w:val="center"/>
        <w:rPr>
          <w:b/>
          <w:sz w:val="32"/>
          <w:lang w:val="fr-CA"/>
        </w:rPr>
      </w:pPr>
      <w:r>
        <w:rPr>
          <w:b/>
          <w:sz w:val="36"/>
          <w:lang w:val="fr-CA"/>
        </w:rPr>
        <w:t>Système de points - Feuille de pratique</w:t>
      </w:r>
    </w:p>
    <w:p w:rsidR="00AC316E" w:rsidRDefault="00AC316E" w:rsidP="00AC316E">
      <w:pPr>
        <w:jc w:val="center"/>
        <w:rPr>
          <w:b/>
          <w:sz w:val="28"/>
          <w:lang w:val="fr-CA"/>
        </w:rPr>
      </w:pPr>
    </w:p>
    <w:p w:rsidR="00AC316E" w:rsidRDefault="00AC316E" w:rsidP="00AC316E">
      <w:pPr>
        <w:rPr>
          <w:b/>
          <w:sz w:val="28"/>
          <w:lang w:val="fr-CA"/>
        </w:rPr>
      </w:pPr>
    </w:p>
    <w:tbl>
      <w:tblPr>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450"/>
        <w:gridCol w:w="1283"/>
        <w:gridCol w:w="1283"/>
        <w:gridCol w:w="1283"/>
        <w:gridCol w:w="1283"/>
        <w:gridCol w:w="1283"/>
      </w:tblGrid>
      <w:tr w:rsidR="00AC316E" w:rsidTr="00AC316E">
        <w:tc>
          <w:tcPr>
            <w:tcW w:w="2448" w:type="dxa"/>
            <w:tcBorders>
              <w:top w:val="single" w:sz="6" w:space="0" w:color="000000"/>
              <w:left w:val="single" w:sz="6" w:space="0" w:color="000000"/>
              <w:bottom w:val="single" w:sz="6" w:space="0" w:color="000000"/>
              <w:right w:val="single" w:sz="6" w:space="0" w:color="000000"/>
            </w:tcBorders>
            <w:hideMark/>
          </w:tcPr>
          <w:p w:rsidR="00AC316E" w:rsidRDefault="00AC316E">
            <w:pPr>
              <w:jc w:val="center"/>
              <w:rPr>
                <w:b/>
                <w:sz w:val="28"/>
                <w:lang w:val="fr-CA"/>
              </w:rPr>
            </w:pPr>
            <w:r>
              <w:rPr>
                <w:b/>
                <w:sz w:val="32"/>
                <w:lang w:val="fr-CA"/>
              </w:rPr>
              <w:t>Facteur</w:t>
            </w:r>
          </w:p>
        </w:tc>
        <w:tc>
          <w:tcPr>
            <w:tcW w:w="1282" w:type="dxa"/>
            <w:tcBorders>
              <w:top w:val="single" w:sz="6" w:space="0" w:color="000000"/>
              <w:left w:val="single" w:sz="6" w:space="0" w:color="000000"/>
              <w:bottom w:val="single" w:sz="6" w:space="0" w:color="000000"/>
              <w:right w:val="single" w:sz="6" w:space="0" w:color="000000"/>
            </w:tcBorders>
            <w:hideMark/>
          </w:tcPr>
          <w:p w:rsidR="00AC316E" w:rsidRDefault="00AC316E">
            <w:pPr>
              <w:rPr>
                <w:b/>
                <w:sz w:val="28"/>
                <w:lang w:val="fr-CA"/>
              </w:rPr>
            </w:pPr>
            <w:r>
              <w:rPr>
                <w:b/>
                <w:sz w:val="28"/>
                <w:lang w:val="fr-CA"/>
              </w:rPr>
              <w:t>Cas #1</w:t>
            </w:r>
          </w:p>
        </w:tc>
        <w:tc>
          <w:tcPr>
            <w:tcW w:w="1282" w:type="dxa"/>
            <w:tcBorders>
              <w:top w:val="single" w:sz="6" w:space="0" w:color="000000"/>
              <w:left w:val="single" w:sz="6" w:space="0" w:color="000000"/>
              <w:bottom w:val="single" w:sz="6" w:space="0" w:color="000000"/>
              <w:right w:val="single" w:sz="6" w:space="0" w:color="000000"/>
            </w:tcBorders>
            <w:hideMark/>
          </w:tcPr>
          <w:p w:rsidR="00AC316E" w:rsidRDefault="00AC316E">
            <w:pPr>
              <w:rPr>
                <w:b/>
                <w:sz w:val="28"/>
                <w:lang w:val="fr-CA"/>
              </w:rPr>
            </w:pPr>
            <w:r>
              <w:rPr>
                <w:b/>
                <w:sz w:val="28"/>
                <w:lang w:val="fr-CA"/>
              </w:rPr>
              <w:t>Cas #2</w:t>
            </w:r>
          </w:p>
        </w:tc>
        <w:tc>
          <w:tcPr>
            <w:tcW w:w="1282" w:type="dxa"/>
            <w:tcBorders>
              <w:top w:val="single" w:sz="6" w:space="0" w:color="000000"/>
              <w:left w:val="single" w:sz="6" w:space="0" w:color="000000"/>
              <w:bottom w:val="single" w:sz="6" w:space="0" w:color="000000"/>
              <w:right w:val="single" w:sz="6" w:space="0" w:color="000000"/>
            </w:tcBorders>
            <w:hideMark/>
          </w:tcPr>
          <w:p w:rsidR="00AC316E" w:rsidRDefault="00AC316E">
            <w:pPr>
              <w:rPr>
                <w:b/>
                <w:sz w:val="28"/>
                <w:lang w:val="fr-CA"/>
              </w:rPr>
            </w:pPr>
            <w:r>
              <w:rPr>
                <w:b/>
                <w:sz w:val="28"/>
                <w:lang w:val="fr-CA"/>
              </w:rPr>
              <w:t>Cas #3</w:t>
            </w:r>
          </w:p>
        </w:tc>
        <w:tc>
          <w:tcPr>
            <w:tcW w:w="1282" w:type="dxa"/>
            <w:tcBorders>
              <w:top w:val="single" w:sz="6" w:space="0" w:color="000000"/>
              <w:left w:val="single" w:sz="6" w:space="0" w:color="000000"/>
              <w:bottom w:val="single" w:sz="6" w:space="0" w:color="000000"/>
              <w:right w:val="single" w:sz="6" w:space="0" w:color="000000"/>
            </w:tcBorders>
            <w:hideMark/>
          </w:tcPr>
          <w:p w:rsidR="00AC316E" w:rsidRDefault="00AC316E">
            <w:pPr>
              <w:rPr>
                <w:b/>
                <w:sz w:val="28"/>
                <w:lang w:val="fr-CA"/>
              </w:rPr>
            </w:pPr>
            <w:r>
              <w:rPr>
                <w:b/>
                <w:sz w:val="28"/>
                <w:lang w:val="fr-CA"/>
              </w:rPr>
              <w:t>Cas #4</w:t>
            </w:r>
          </w:p>
        </w:tc>
        <w:tc>
          <w:tcPr>
            <w:tcW w:w="1282" w:type="dxa"/>
            <w:tcBorders>
              <w:top w:val="single" w:sz="6" w:space="0" w:color="000000"/>
              <w:left w:val="single" w:sz="6" w:space="0" w:color="000000"/>
              <w:bottom w:val="single" w:sz="6" w:space="0" w:color="000000"/>
              <w:right w:val="single" w:sz="6" w:space="0" w:color="000000"/>
            </w:tcBorders>
            <w:hideMark/>
          </w:tcPr>
          <w:p w:rsidR="00AC316E" w:rsidRDefault="00AC316E">
            <w:pPr>
              <w:rPr>
                <w:b/>
                <w:sz w:val="28"/>
                <w:lang w:val="fr-CA"/>
              </w:rPr>
            </w:pPr>
            <w:r>
              <w:rPr>
                <w:b/>
                <w:sz w:val="28"/>
                <w:lang w:val="fr-CA"/>
              </w:rPr>
              <w:t>Cas #5</w:t>
            </w:r>
          </w:p>
        </w:tc>
      </w:tr>
      <w:tr w:rsidR="00AC316E" w:rsidTr="00AC316E">
        <w:tc>
          <w:tcPr>
            <w:tcW w:w="2448"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r>
              <w:rPr>
                <w:b/>
                <w:sz w:val="28"/>
                <w:lang w:val="fr-CA"/>
              </w:rPr>
              <w:t>Études</w:t>
            </w:r>
          </w:p>
          <w:p w:rsidR="00AC316E" w:rsidRDefault="00AC316E">
            <w:pPr>
              <w:rPr>
                <w:b/>
                <w:sz w:val="28"/>
                <w:lang w:val="fr-CA"/>
              </w:rPr>
            </w:pPr>
            <w:r>
              <w:rPr>
                <w:b/>
                <w:sz w:val="28"/>
                <w:lang w:val="fr-CA"/>
              </w:rPr>
              <w:t xml:space="preserve">  (25 max.)</w:t>
            </w:r>
          </w:p>
          <w:p w:rsidR="00AC316E" w:rsidRDefault="00AC316E">
            <w:pPr>
              <w:rPr>
                <w:b/>
                <w:sz w:val="28"/>
                <w:lang w:val="fr-CA"/>
              </w:rPr>
            </w:pPr>
          </w:p>
          <w:p w:rsidR="00AC316E" w:rsidRDefault="00AC316E">
            <w:pPr>
              <w:rPr>
                <w:b/>
                <w:sz w:val="28"/>
                <w:lang w:val="fr-CA"/>
              </w:rPr>
            </w:pPr>
          </w:p>
        </w:tc>
        <w:tc>
          <w:tcPr>
            <w:tcW w:w="1282"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p>
        </w:tc>
        <w:tc>
          <w:tcPr>
            <w:tcW w:w="1282"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p>
        </w:tc>
        <w:tc>
          <w:tcPr>
            <w:tcW w:w="1282"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p>
        </w:tc>
        <w:tc>
          <w:tcPr>
            <w:tcW w:w="1282"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p>
        </w:tc>
        <w:tc>
          <w:tcPr>
            <w:tcW w:w="1282"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p>
        </w:tc>
      </w:tr>
      <w:tr w:rsidR="00AC316E" w:rsidTr="00AC316E">
        <w:tc>
          <w:tcPr>
            <w:tcW w:w="2448"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r>
              <w:rPr>
                <w:b/>
                <w:sz w:val="28"/>
                <w:lang w:val="fr-CA"/>
              </w:rPr>
              <w:t>Expérience de travail</w:t>
            </w:r>
          </w:p>
          <w:p w:rsidR="00AC316E" w:rsidRDefault="00AC316E">
            <w:pPr>
              <w:rPr>
                <w:b/>
                <w:sz w:val="28"/>
                <w:lang w:val="fr-CA"/>
              </w:rPr>
            </w:pPr>
            <w:r>
              <w:rPr>
                <w:b/>
                <w:sz w:val="28"/>
                <w:lang w:val="fr-CA"/>
              </w:rPr>
              <w:t xml:space="preserve">   (21 max.)</w:t>
            </w:r>
          </w:p>
          <w:p w:rsidR="00AC316E" w:rsidRDefault="00AC316E">
            <w:pPr>
              <w:rPr>
                <w:b/>
                <w:sz w:val="28"/>
                <w:lang w:val="fr-CA"/>
              </w:rPr>
            </w:pPr>
          </w:p>
          <w:p w:rsidR="00AC316E" w:rsidRDefault="00AC316E">
            <w:pPr>
              <w:rPr>
                <w:b/>
                <w:sz w:val="28"/>
                <w:lang w:val="fr-CA"/>
              </w:rPr>
            </w:pPr>
          </w:p>
        </w:tc>
        <w:tc>
          <w:tcPr>
            <w:tcW w:w="1282"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p>
        </w:tc>
        <w:tc>
          <w:tcPr>
            <w:tcW w:w="1282"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p>
        </w:tc>
        <w:tc>
          <w:tcPr>
            <w:tcW w:w="1282"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p>
        </w:tc>
        <w:tc>
          <w:tcPr>
            <w:tcW w:w="1282"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p>
        </w:tc>
        <w:tc>
          <w:tcPr>
            <w:tcW w:w="1282"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p>
        </w:tc>
      </w:tr>
      <w:tr w:rsidR="00AC316E" w:rsidTr="00AC316E">
        <w:tc>
          <w:tcPr>
            <w:tcW w:w="2448"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r>
              <w:rPr>
                <w:b/>
                <w:sz w:val="28"/>
                <w:lang w:val="fr-CA"/>
              </w:rPr>
              <w:t>Emploi réservé   (10 max.)</w:t>
            </w:r>
          </w:p>
          <w:p w:rsidR="00AC316E" w:rsidRDefault="00AC316E">
            <w:pPr>
              <w:rPr>
                <w:b/>
                <w:sz w:val="28"/>
                <w:lang w:val="fr-CA"/>
              </w:rPr>
            </w:pPr>
          </w:p>
          <w:p w:rsidR="00AC316E" w:rsidRDefault="00AC316E">
            <w:pPr>
              <w:rPr>
                <w:b/>
                <w:sz w:val="28"/>
                <w:lang w:val="fr-CA"/>
              </w:rPr>
            </w:pPr>
          </w:p>
        </w:tc>
        <w:tc>
          <w:tcPr>
            <w:tcW w:w="1282"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p>
        </w:tc>
        <w:tc>
          <w:tcPr>
            <w:tcW w:w="1282"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p>
        </w:tc>
        <w:tc>
          <w:tcPr>
            <w:tcW w:w="1282"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p>
        </w:tc>
        <w:tc>
          <w:tcPr>
            <w:tcW w:w="1282"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p>
        </w:tc>
        <w:tc>
          <w:tcPr>
            <w:tcW w:w="1282"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p>
        </w:tc>
      </w:tr>
      <w:tr w:rsidR="00AC316E" w:rsidTr="00AC316E">
        <w:tc>
          <w:tcPr>
            <w:tcW w:w="2448"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r>
              <w:rPr>
                <w:b/>
                <w:sz w:val="28"/>
                <w:lang w:val="fr-CA"/>
              </w:rPr>
              <w:t>Age</w:t>
            </w:r>
          </w:p>
          <w:p w:rsidR="00AC316E" w:rsidRDefault="00AC316E">
            <w:pPr>
              <w:rPr>
                <w:b/>
                <w:sz w:val="28"/>
                <w:lang w:val="fr-CA"/>
              </w:rPr>
            </w:pPr>
            <w:r>
              <w:rPr>
                <w:b/>
                <w:sz w:val="28"/>
                <w:lang w:val="fr-CA"/>
              </w:rPr>
              <w:t xml:space="preserve">   (10 max.)</w:t>
            </w:r>
          </w:p>
          <w:p w:rsidR="00AC316E" w:rsidRDefault="00AC316E">
            <w:pPr>
              <w:rPr>
                <w:b/>
                <w:sz w:val="28"/>
                <w:lang w:val="fr-CA"/>
              </w:rPr>
            </w:pPr>
          </w:p>
        </w:tc>
        <w:tc>
          <w:tcPr>
            <w:tcW w:w="1282"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p>
        </w:tc>
        <w:tc>
          <w:tcPr>
            <w:tcW w:w="1282"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p>
        </w:tc>
        <w:tc>
          <w:tcPr>
            <w:tcW w:w="1282"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p>
        </w:tc>
        <w:tc>
          <w:tcPr>
            <w:tcW w:w="1282"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p>
        </w:tc>
        <w:tc>
          <w:tcPr>
            <w:tcW w:w="1282"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p>
        </w:tc>
      </w:tr>
      <w:tr w:rsidR="00AC316E" w:rsidTr="00AC316E">
        <w:tc>
          <w:tcPr>
            <w:tcW w:w="2448"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r>
              <w:rPr>
                <w:b/>
                <w:sz w:val="28"/>
                <w:lang w:val="fr-CA"/>
              </w:rPr>
              <w:t>Connaissances de l’Anglais et du Français</w:t>
            </w:r>
          </w:p>
          <w:p w:rsidR="00AC316E" w:rsidRDefault="00AC316E">
            <w:pPr>
              <w:rPr>
                <w:b/>
                <w:sz w:val="28"/>
                <w:lang w:val="fr-CA"/>
              </w:rPr>
            </w:pPr>
            <w:r>
              <w:rPr>
                <w:b/>
                <w:sz w:val="28"/>
                <w:lang w:val="fr-CA"/>
              </w:rPr>
              <w:t xml:space="preserve">   (24 max.)</w:t>
            </w:r>
          </w:p>
          <w:p w:rsidR="00AC316E" w:rsidRDefault="00AC316E">
            <w:pPr>
              <w:rPr>
                <w:b/>
                <w:sz w:val="28"/>
                <w:lang w:val="fr-CA"/>
              </w:rPr>
            </w:pPr>
          </w:p>
        </w:tc>
        <w:tc>
          <w:tcPr>
            <w:tcW w:w="1282"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p>
        </w:tc>
        <w:tc>
          <w:tcPr>
            <w:tcW w:w="1282"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p>
        </w:tc>
        <w:tc>
          <w:tcPr>
            <w:tcW w:w="1282"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p>
        </w:tc>
        <w:tc>
          <w:tcPr>
            <w:tcW w:w="1282"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p>
        </w:tc>
        <w:tc>
          <w:tcPr>
            <w:tcW w:w="1282"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p>
        </w:tc>
      </w:tr>
      <w:tr w:rsidR="00AC316E" w:rsidTr="00AC316E">
        <w:tc>
          <w:tcPr>
            <w:tcW w:w="2448"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r>
              <w:rPr>
                <w:b/>
                <w:sz w:val="28"/>
                <w:lang w:val="fr-CA"/>
              </w:rPr>
              <w:t>Capacité d’adaptation</w:t>
            </w:r>
          </w:p>
          <w:p w:rsidR="00AC316E" w:rsidRDefault="00AC316E">
            <w:pPr>
              <w:rPr>
                <w:b/>
                <w:sz w:val="28"/>
                <w:lang w:val="fr-CA"/>
              </w:rPr>
            </w:pPr>
            <w:r>
              <w:rPr>
                <w:b/>
                <w:sz w:val="28"/>
                <w:lang w:val="fr-CA"/>
              </w:rPr>
              <w:t xml:space="preserve">   (10 max.)</w:t>
            </w:r>
          </w:p>
          <w:p w:rsidR="00AC316E" w:rsidRDefault="00AC316E">
            <w:pPr>
              <w:rPr>
                <w:b/>
                <w:sz w:val="28"/>
                <w:lang w:val="fr-CA"/>
              </w:rPr>
            </w:pPr>
          </w:p>
          <w:p w:rsidR="00AC316E" w:rsidRDefault="00AC316E">
            <w:pPr>
              <w:rPr>
                <w:b/>
                <w:sz w:val="28"/>
                <w:lang w:val="fr-CA"/>
              </w:rPr>
            </w:pPr>
          </w:p>
        </w:tc>
        <w:tc>
          <w:tcPr>
            <w:tcW w:w="1282"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p>
        </w:tc>
        <w:tc>
          <w:tcPr>
            <w:tcW w:w="1282"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p>
        </w:tc>
        <w:tc>
          <w:tcPr>
            <w:tcW w:w="1282"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p>
        </w:tc>
        <w:tc>
          <w:tcPr>
            <w:tcW w:w="1282"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p>
        </w:tc>
        <w:tc>
          <w:tcPr>
            <w:tcW w:w="1282"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p>
        </w:tc>
      </w:tr>
      <w:tr w:rsidR="00AC316E" w:rsidTr="00AC316E">
        <w:tc>
          <w:tcPr>
            <w:tcW w:w="2448"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p>
          <w:p w:rsidR="00AC316E" w:rsidRDefault="00AC316E">
            <w:pPr>
              <w:rPr>
                <w:b/>
                <w:sz w:val="28"/>
                <w:lang w:val="fr-CA"/>
              </w:rPr>
            </w:pPr>
            <w:r>
              <w:rPr>
                <w:b/>
                <w:sz w:val="28"/>
                <w:lang w:val="fr-CA"/>
              </w:rPr>
              <w:t>TOTAL sur 100</w:t>
            </w:r>
          </w:p>
        </w:tc>
        <w:tc>
          <w:tcPr>
            <w:tcW w:w="1282"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p>
        </w:tc>
        <w:tc>
          <w:tcPr>
            <w:tcW w:w="1282"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p>
        </w:tc>
        <w:tc>
          <w:tcPr>
            <w:tcW w:w="1282"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p>
        </w:tc>
        <w:tc>
          <w:tcPr>
            <w:tcW w:w="1282"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p>
        </w:tc>
        <w:tc>
          <w:tcPr>
            <w:tcW w:w="1282"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p>
        </w:tc>
      </w:tr>
      <w:tr w:rsidR="00AC316E" w:rsidTr="00AC316E">
        <w:tc>
          <w:tcPr>
            <w:tcW w:w="2448" w:type="dxa"/>
            <w:tcBorders>
              <w:top w:val="single" w:sz="6" w:space="0" w:color="000000"/>
              <w:left w:val="single" w:sz="6" w:space="0" w:color="000000"/>
              <w:bottom w:val="single" w:sz="6" w:space="0" w:color="000000"/>
              <w:right w:val="single" w:sz="6" w:space="0" w:color="000000"/>
            </w:tcBorders>
            <w:hideMark/>
          </w:tcPr>
          <w:p w:rsidR="00AC316E" w:rsidRDefault="00AC316E">
            <w:pPr>
              <w:rPr>
                <w:b/>
                <w:sz w:val="28"/>
                <w:lang w:val="fr-CA"/>
              </w:rPr>
            </w:pPr>
            <w:r>
              <w:rPr>
                <w:b/>
                <w:sz w:val="28"/>
                <w:lang w:val="fr-CA"/>
              </w:rPr>
              <w:t>Entrée au Canada</w:t>
            </w:r>
          </w:p>
          <w:p w:rsidR="00AC316E" w:rsidRDefault="00AC316E">
            <w:pPr>
              <w:jc w:val="center"/>
              <w:rPr>
                <w:b/>
                <w:sz w:val="28"/>
                <w:lang w:val="fr-CA"/>
              </w:rPr>
            </w:pPr>
            <w:r>
              <w:rPr>
                <w:b/>
                <w:sz w:val="32"/>
                <w:szCs w:val="32"/>
                <w:lang w:val="fr-CA"/>
              </w:rPr>
              <w:sym w:font="Marlett" w:char="F061"/>
            </w:r>
            <w:r>
              <w:rPr>
                <w:b/>
                <w:sz w:val="28"/>
                <w:lang w:val="fr-CA"/>
              </w:rPr>
              <w:t xml:space="preserve">    ou    </w:t>
            </w:r>
            <w:r>
              <w:rPr>
                <w:b/>
                <w:sz w:val="28"/>
                <w:lang w:val="fr-CA"/>
              </w:rPr>
              <w:sym w:font="Marlett" w:char="F072"/>
            </w:r>
          </w:p>
        </w:tc>
        <w:tc>
          <w:tcPr>
            <w:tcW w:w="1282"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p>
        </w:tc>
        <w:tc>
          <w:tcPr>
            <w:tcW w:w="1282"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p>
        </w:tc>
        <w:tc>
          <w:tcPr>
            <w:tcW w:w="1282"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p>
        </w:tc>
        <w:tc>
          <w:tcPr>
            <w:tcW w:w="1282"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p>
        </w:tc>
        <w:tc>
          <w:tcPr>
            <w:tcW w:w="1282" w:type="dxa"/>
            <w:tcBorders>
              <w:top w:val="single" w:sz="6" w:space="0" w:color="000000"/>
              <w:left w:val="single" w:sz="6" w:space="0" w:color="000000"/>
              <w:bottom w:val="single" w:sz="6" w:space="0" w:color="000000"/>
              <w:right w:val="single" w:sz="6" w:space="0" w:color="000000"/>
            </w:tcBorders>
          </w:tcPr>
          <w:p w:rsidR="00AC316E" w:rsidRDefault="00AC316E">
            <w:pPr>
              <w:rPr>
                <w:b/>
                <w:sz w:val="28"/>
                <w:lang w:val="fr-CA"/>
              </w:rPr>
            </w:pPr>
          </w:p>
        </w:tc>
      </w:tr>
    </w:tbl>
    <w:p w:rsidR="00AC316E" w:rsidRDefault="00AC316E" w:rsidP="00AC316E">
      <w:pPr>
        <w:rPr>
          <w:b/>
          <w:sz w:val="28"/>
        </w:rPr>
      </w:pPr>
    </w:p>
    <w:p w:rsidR="00AC316E" w:rsidRPr="008276F6" w:rsidRDefault="00AC316E">
      <w:pPr>
        <w:rPr>
          <w:lang w:val="fr-CA"/>
        </w:rPr>
      </w:pPr>
      <w:bookmarkStart w:id="0" w:name="_GoBack"/>
      <w:bookmarkEnd w:id="0"/>
    </w:p>
    <w:sectPr w:rsidR="00AC316E" w:rsidRPr="008276F6" w:rsidSect="00195254">
      <w:pgSz w:w="12240" w:h="15840"/>
      <w:pgMar w:top="1021" w:right="1021" w:bottom="1021"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F6"/>
    <w:rsid w:val="00195254"/>
    <w:rsid w:val="00621AAE"/>
    <w:rsid w:val="008276F6"/>
    <w:rsid w:val="00A7701A"/>
    <w:rsid w:val="00AC316E"/>
    <w:rsid w:val="00F9376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6F6"/>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AAE"/>
    <w:rPr>
      <w:rFonts w:ascii="Tahoma" w:hAnsi="Tahoma" w:cs="Tahoma"/>
      <w:sz w:val="16"/>
      <w:szCs w:val="16"/>
    </w:rPr>
  </w:style>
  <w:style w:type="character" w:customStyle="1" w:styleId="BalloonTextChar">
    <w:name w:val="Balloon Text Char"/>
    <w:basedOn w:val="DefaultParagraphFont"/>
    <w:link w:val="BalloonText"/>
    <w:uiPriority w:val="99"/>
    <w:semiHidden/>
    <w:rsid w:val="00621AA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6F6"/>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AAE"/>
    <w:rPr>
      <w:rFonts w:ascii="Tahoma" w:hAnsi="Tahoma" w:cs="Tahoma"/>
      <w:sz w:val="16"/>
      <w:szCs w:val="16"/>
    </w:rPr>
  </w:style>
  <w:style w:type="character" w:customStyle="1" w:styleId="BalloonTextChar">
    <w:name w:val="Balloon Text Char"/>
    <w:basedOn w:val="DefaultParagraphFont"/>
    <w:link w:val="BalloonText"/>
    <w:uiPriority w:val="99"/>
    <w:semiHidden/>
    <w:rsid w:val="00621AA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73760">
      <w:bodyDiv w:val="1"/>
      <w:marLeft w:val="0"/>
      <w:marRight w:val="0"/>
      <w:marTop w:val="0"/>
      <w:marBottom w:val="0"/>
      <w:divBdr>
        <w:top w:val="none" w:sz="0" w:space="0" w:color="auto"/>
        <w:left w:val="none" w:sz="0" w:space="0" w:color="auto"/>
        <w:bottom w:val="none" w:sz="0" w:space="0" w:color="auto"/>
        <w:right w:val="none" w:sz="0" w:space="0" w:color="auto"/>
      </w:divBdr>
    </w:div>
    <w:div w:id="213597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Leslie</dc:creator>
  <cp:keywords/>
  <dc:description/>
  <cp:lastModifiedBy>Godson, Leslie</cp:lastModifiedBy>
  <cp:revision>6</cp:revision>
  <cp:lastPrinted>2015-04-24T21:17:00Z</cp:lastPrinted>
  <dcterms:created xsi:type="dcterms:W3CDTF">2013-04-29T16:35:00Z</dcterms:created>
  <dcterms:modified xsi:type="dcterms:W3CDTF">2015-04-24T21:17:00Z</dcterms:modified>
</cp:coreProperties>
</file>